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3108"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Sygn. akt I </w:t>
      </w:r>
      <w:proofErr w:type="spellStart"/>
      <w:r>
        <w:rPr>
          <w:rFonts w:ascii="Times New Roman" w:hAnsi="Times New Roman" w:cs="Times New Roman"/>
          <w:sz w:val="24"/>
          <w:szCs w:val="24"/>
        </w:rPr>
        <w:t>Nc</w:t>
      </w:r>
      <w:proofErr w:type="spellEnd"/>
      <w:r>
        <w:rPr>
          <w:rFonts w:ascii="Times New Roman" w:hAnsi="Times New Roman" w:cs="Times New Roman"/>
          <w:sz w:val="24"/>
          <w:szCs w:val="24"/>
        </w:rPr>
        <w:t xml:space="preserve"> 123/24</w:t>
      </w:r>
    </w:p>
    <w:p w14:paraId="487DD0FA" w14:textId="77777777" w:rsidR="0071594F" w:rsidRDefault="0071594F" w:rsidP="0071594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 O S T A N O W I E N I E</w:t>
      </w:r>
    </w:p>
    <w:p w14:paraId="1DC6F531" w14:textId="77777777" w:rsidR="0071594F" w:rsidRDefault="0071594F" w:rsidP="0071594F">
      <w:pPr>
        <w:spacing w:after="0" w:line="360" w:lineRule="auto"/>
        <w:jc w:val="both"/>
        <w:rPr>
          <w:rFonts w:ascii="Times New Roman" w:hAnsi="Times New Roman" w:cs="Times New Roman"/>
          <w:sz w:val="24"/>
          <w:szCs w:val="24"/>
        </w:rPr>
      </w:pPr>
    </w:p>
    <w:p w14:paraId="74B921A1" w14:textId="77777777" w:rsidR="0071594F" w:rsidRDefault="0071594F" w:rsidP="0071594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Dnia 16 kwietnia 2025 r.</w:t>
      </w:r>
    </w:p>
    <w:p w14:paraId="7D4C0C9B" w14:textId="77777777" w:rsidR="0071594F" w:rsidRDefault="0071594F" w:rsidP="0071594F">
      <w:pPr>
        <w:spacing w:after="0" w:line="360" w:lineRule="auto"/>
        <w:jc w:val="both"/>
        <w:rPr>
          <w:rFonts w:ascii="Times New Roman" w:hAnsi="Times New Roman" w:cs="Times New Roman"/>
          <w:sz w:val="24"/>
          <w:szCs w:val="24"/>
        </w:rPr>
      </w:pPr>
    </w:p>
    <w:p w14:paraId="698C7E88"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Referendarz sądowy w Sądzie Rejonowym w Jarosławiu I Wydziale Cywilnym</w:t>
      </w:r>
    </w:p>
    <w:p w14:paraId="4DDF1AB8"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Ewelina Wajda-</w:t>
      </w:r>
      <w:proofErr w:type="spellStart"/>
      <w:r>
        <w:rPr>
          <w:rFonts w:ascii="Times New Roman" w:hAnsi="Times New Roman" w:cs="Times New Roman"/>
          <w:sz w:val="24"/>
          <w:szCs w:val="24"/>
        </w:rPr>
        <w:t>Fiema</w:t>
      </w:r>
      <w:proofErr w:type="spellEnd"/>
    </w:p>
    <w:p w14:paraId="0310F398"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 rozpoznaniu w dniu 16 kwietnia 2025 r. w Jarosławiu</w:t>
      </w:r>
    </w:p>
    <w:p w14:paraId="3C5DAD2A"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posiedzeniu niejawnym</w:t>
      </w:r>
    </w:p>
    <w:p w14:paraId="70C8FEC5"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sprawy z powództwa BEST Niestandaryzowany Fundusz Inwestycyjny Zamknięty Wierzytelności z siedzibą w Gdyni</w:t>
      </w:r>
    </w:p>
    <w:p w14:paraId="69E2CC97"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przeciwko Sylwestrowi Jagielskiemu</w:t>
      </w:r>
    </w:p>
    <w:p w14:paraId="3CCFB4F7" w14:textId="77777777" w:rsidR="0071594F" w:rsidRDefault="0071594F" w:rsidP="007159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zapłatę</w:t>
      </w:r>
    </w:p>
    <w:p w14:paraId="075E4818" w14:textId="77777777" w:rsidR="0071594F" w:rsidRDefault="0071594F" w:rsidP="0071594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postanawia:</w:t>
      </w:r>
    </w:p>
    <w:p w14:paraId="47006476" w14:textId="77777777" w:rsidR="0071594F" w:rsidRDefault="0071594F" w:rsidP="0071594F">
      <w:pPr>
        <w:spacing w:after="0" w:line="360" w:lineRule="auto"/>
        <w:jc w:val="both"/>
        <w:rPr>
          <w:rFonts w:ascii="Times New Roman" w:hAnsi="Times New Roman" w:cs="Times New Roman"/>
          <w:sz w:val="24"/>
          <w:szCs w:val="24"/>
        </w:rPr>
      </w:pPr>
    </w:p>
    <w:p w14:paraId="751ACEFE" w14:textId="77777777" w:rsidR="0071594F" w:rsidRDefault="0071594F" w:rsidP="0071594F">
      <w:pPr>
        <w:pStyle w:val="Akapitzlist"/>
        <w:numPr>
          <w:ilvl w:val="0"/>
          <w:numId w:val="1"/>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odmówić podjęcia zawieszonego postępowania, na podstawie art. 180 § 1 k.p.c.,</w:t>
      </w:r>
    </w:p>
    <w:p w14:paraId="2083D518" w14:textId="77777777" w:rsidR="0071594F" w:rsidRDefault="0071594F" w:rsidP="0071594F">
      <w:pPr>
        <w:pStyle w:val="Akapitzlist"/>
        <w:numPr>
          <w:ilvl w:val="0"/>
          <w:numId w:val="1"/>
        </w:numPr>
        <w:spacing w:after="0" w:line="360" w:lineRule="auto"/>
        <w:ind w:left="284" w:right="141" w:hanging="284"/>
        <w:jc w:val="both"/>
        <w:rPr>
          <w:rFonts w:ascii="Times New Roman" w:hAnsi="Times New Roman" w:cs="Times New Roman"/>
          <w:sz w:val="24"/>
          <w:szCs w:val="24"/>
        </w:rPr>
      </w:pPr>
      <w:r>
        <w:rPr>
          <w:rFonts w:ascii="Times New Roman" w:hAnsi="Times New Roman" w:cs="Times New Roman"/>
          <w:sz w:val="24"/>
          <w:szCs w:val="24"/>
        </w:rPr>
        <w:t xml:space="preserve">uznać cofnięcie pozwu za niedopuszczalne na podstawie art. 332 § 2 k.p.c. w zw. z art. 13 § 1 </w:t>
      </w:r>
      <w:proofErr w:type="spellStart"/>
      <w:r>
        <w:rPr>
          <w:rFonts w:ascii="Times New Roman" w:hAnsi="Times New Roman" w:cs="Times New Roman"/>
          <w:sz w:val="24"/>
          <w:szCs w:val="24"/>
        </w:rPr>
        <w:t>zd</w:t>
      </w:r>
      <w:proofErr w:type="spellEnd"/>
      <w:r>
        <w:rPr>
          <w:rFonts w:ascii="Times New Roman" w:hAnsi="Times New Roman" w:cs="Times New Roman"/>
          <w:sz w:val="24"/>
          <w:szCs w:val="24"/>
        </w:rPr>
        <w:t>. 2 k.p.c.,</w:t>
      </w:r>
    </w:p>
    <w:p w14:paraId="7C92C611" w14:textId="77777777" w:rsidR="0071594F" w:rsidRDefault="0071594F" w:rsidP="0071594F">
      <w:pPr>
        <w:pStyle w:val="Akapitzlist"/>
        <w:numPr>
          <w:ilvl w:val="0"/>
          <w:numId w:val="1"/>
        </w:numPr>
        <w:spacing w:after="0" w:line="360" w:lineRule="auto"/>
        <w:ind w:left="284" w:right="141" w:hanging="284"/>
        <w:jc w:val="both"/>
        <w:rPr>
          <w:rFonts w:ascii="Times New Roman" w:hAnsi="Times New Roman" w:cs="Times New Roman"/>
          <w:sz w:val="24"/>
          <w:szCs w:val="24"/>
        </w:rPr>
      </w:pPr>
      <w:r>
        <w:rPr>
          <w:rFonts w:ascii="Times New Roman" w:hAnsi="Times New Roman" w:cs="Times New Roman"/>
          <w:sz w:val="24"/>
          <w:szCs w:val="24"/>
        </w:rPr>
        <w:t>umorzyć postępowanie w sprawie</w:t>
      </w:r>
      <w:r>
        <w:rPr>
          <w:rFonts w:ascii="Times New Roman" w:hAnsi="Times New Roman" w:cs="Times New Roman"/>
          <w:b/>
          <w:sz w:val="24"/>
          <w:szCs w:val="24"/>
        </w:rPr>
        <w:t xml:space="preserve"> </w:t>
      </w:r>
      <w:r>
        <w:rPr>
          <w:rFonts w:ascii="Times New Roman" w:hAnsi="Times New Roman" w:cs="Times New Roman"/>
          <w:sz w:val="24"/>
          <w:szCs w:val="24"/>
        </w:rPr>
        <w:t>na podstawie art. 182 § 1 pkt 1 k.p.c. w zw. z art.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13 § 1 </w:t>
      </w:r>
      <w:proofErr w:type="spellStart"/>
      <w:r>
        <w:rPr>
          <w:rFonts w:ascii="Times New Roman" w:hAnsi="Times New Roman" w:cs="Times New Roman"/>
          <w:sz w:val="24"/>
          <w:szCs w:val="24"/>
        </w:rPr>
        <w:t>zd</w:t>
      </w:r>
      <w:proofErr w:type="spellEnd"/>
      <w:r>
        <w:rPr>
          <w:rFonts w:ascii="Times New Roman" w:hAnsi="Times New Roman" w:cs="Times New Roman"/>
          <w:sz w:val="24"/>
          <w:szCs w:val="24"/>
        </w:rPr>
        <w:t>. 2 k.p.c.,</w:t>
      </w:r>
    </w:p>
    <w:p w14:paraId="25C57DE7" w14:textId="77777777" w:rsidR="0071594F" w:rsidRDefault="0071594F" w:rsidP="0071594F">
      <w:pPr>
        <w:pStyle w:val="Akapitzlist"/>
        <w:numPr>
          <w:ilvl w:val="0"/>
          <w:numId w:val="1"/>
        </w:numPr>
        <w:spacing w:after="0" w:line="360" w:lineRule="auto"/>
        <w:ind w:left="284" w:right="141" w:hanging="284"/>
        <w:jc w:val="both"/>
        <w:rPr>
          <w:rFonts w:ascii="Times New Roman" w:hAnsi="Times New Roman" w:cs="Times New Roman"/>
          <w:sz w:val="24"/>
          <w:szCs w:val="24"/>
        </w:rPr>
      </w:pPr>
      <w:r>
        <w:rPr>
          <w:rFonts w:ascii="Times New Roman" w:hAnsi="Times New Roman" w:cs="Times New Roman"/>
          <w:sz w:val="24"/>
          <w:szCs w:val="24"/>
        </w:rPr>
        <w:t>oddalić wniosek powoda o zwrot opłaty sądowej od pozwu.</w:t>
      </w:r>
    </w:p>
    <w:p w14:paraId="247BC6FC" w14:textId="77777777" w:rsidR="0071594F" w:rsidRDefault="0071594F" w:rsidP="0071594F">
      <w:pPr>
        <w:pStyle w:val="Akapitzlist"/>
        <w:spacing w:after="0" w:line="360" w:lineRule="auto"/>
        <w:ind w:right="141" w:hanging="284"/>
        <w:jc w:val="both"/>
        <w:rPr>
          <w:rFonts w:ascii="Times New Roman" w:hAnsi="Times New Roman" w:cs="Times New Roman"/>
          <w:sz w:val="24"/>
          <w:szCs w:val="24"/>
        </w:rPr>
      </w:pPr>
    </w:p>
    <w:p w14:paraId="3B8D70A3" w14:textId="77777777" w:rsidR="0071594F" w:rsidRDefault="0071594F" w:rsidP="0071594F">
      <w:pPr>
        <w:pStyle w:val="Akapitzlist"/>
        <w:spacing w:after="0" w:line="360" w:lineRule="auto"/>
        <w:ind w:right="141"/>
        <w:jc w:val="both"/>
        <w:rPr>
          <w:rFonts w:ascii="Times New Roman" w:hAnsi="Times New Roman" w:cs="Times New Roman"/>
          <w:sz w:val="24"/>
          <w:szCs w:val="24"/>
        </w:rPr>
      </w:pPr>
    </w:p>
    <w:p w14:paraId="3C26F4CE" w14:textId="77777777" w:rsidR="0071594F" w:rsidRDefault="0071594F" w:rsidP="0071594F">
      <w:pPr>
        <w:pStyle w:val="Akapitzlist"/>
        <w:spacing w:after="0" w:line="360" w:lineRule="auto"/>
        <w:ind w:right="141"/>
        <w:jc w:val="both"/>
        <w:rPr>
          <w:rFonts w:ascii="Times New Roman" w:hAnsi="Times New Roman" w:cs="Times New Roman"/>
          <w:sz w:val="24"/>
          <w:szCs w:val="24"/>
        </w:rPr>
      </w:pPr>
    </w:p>
    <w:p w14:paraId="3D8A69A3" w14:textId="77777777" w:rsidR="0071594F" w:rsidRDefault="0071594F" w:rsidP="0071594F">
      <w:pPr>
        <w:pStyle w:val="Akapitzlist"/>
        <w:spacing w:after="0" w:line="240" w:lineRule="auto"/>
        <w:ind w:left="0" w:right="141"/>
        <w:jc w:val="center"/>
        <w:rPr>
          <w:rFonts w:ascii="Times New Roman" w:hAnsi="Times New Roman" w:cs="Times New Roman"/>
          <w:sz w:val="24"/>
          <w:szCs w:val="24"/>
        </w:rPr>
      </w:pPr>
      <w:r>
        <w:rPr>
          <w:rFonts w:ascii="Times New Roman" w:hAnsi="Times New Roman" w:cs="Times New Roman"/>
          <w:sz w:val="24"/>
          <w:szCs w:val="24"/>
        </w:rPr>
        <w:t>U Z A S A D N I E N I E</w:t>
      </w:r>
    </w:p>
    <w:p w14:paraId="02037426" w14:textId="77777777" w:rsidR="0071594F" w:rsidRDefault="0071594F" w:rsidP="0071594F">
      <w:pPr>
        <w:pStyle w:val="Akapitzlist"/>
        <w:spacing w:after="0" w:line="240" w:lineRule="auto"/>
        <w:ind w:left="0" w:right="141"/>
        <w:jc w:val="center"/>
        <w:rPr>
          <w:rFonts w:ascii="Times New Roman" w:hAnsi="Times New Roman" w:cs="Times New Roman"/>
          <w:sz w:val="24"/>
          <w:szCs w:val="24"/>
        </w:rPr>
      </w:pPr>
      <w:r>
        <w:rPr>
          <w:rFonts w:ascii="Times New Roman" w:hAnsi="Times New Roman" w:cs="Times New Roman"/>
          <w:sz w:val="24"/>
          <w:szCs w:val="24"/>
        </w:rPr>
        <w:t>pkt 4 postanowienia</w:t>
      </w:r>
    </w:p>
    <w:p w14:paraId="598B98CA" w14:textId="77777777" w:rsidR="0071594F" w:rsidRDefault="0071594F" w:rsidP="0071594F">
      <w:pPr>
        <w:pStyle w:val="Akapitzlist"/>
        <w:spacing w:after="0" w:line="360" w:lineRule="auto"/>
        <w:ind w:left="0" w:right="141"/>
        <w:jc w:val="center"/>
        <w:rPr>
          <w:rFonts w:ascii="Times New Roman" w:hAnsi="Times New Roman" w:cs="Times New Roman"/>
          <w:sz w:val="24"/>
          <w:szCs w:val="24"/>
        </w:rPr>
      </w:pPr>
    </w:p>
    <w:p w14:paraId="5B71660F" w14:textId="77777777" w:rsidR="0071594F" w:rsidRDefault="0071594F" w:rsidP="0071594F">
      <w:pPr>
        <w:pStyle w:val="Akapitzlist"/>
        <w:spacing w:after="0" w:line="360" w:lineRule="auto"/>
        <w:ind w:left="0" w:right="141"/>
        <w:jc w:val="both"/>
        <w:rPr>
          <w:rFonts w:ascii="Times New Roman" w:hAnsi="Times New Roman" w:cs="Times New Roman"/>
          <w:sz w:val="23"/>
          <w:szCs w:val="23"/>
        </w:rPr>
      </w:pPr>
      <w:r>
        <w:rPr>
          <w:rFonts w:ascii="Times New Roman" w:hAnsi="Times New Roman" w:cs="Times New Roman"/>
          <w:sz w:val="24"/>
          <w:szCs w:val="24"/>
        </w:rPr>
        <w:tab/>
        <w:t>W przedmiotowej sprawie pismem z dnia 10 marca 2025r. powód cofnął pozew bez zrzeczenia się roszczenia, zaś wobec braku ustalenia aktualnego adresu zamieszkania bądź miejsca pobytu pozwanego, brak jest możliwości uzyskania zgody pozwanego na cofnięcie pozwu zgodnie z art. 332 § 2 k.p.c. w zw. z art. 353</w:t>
      </w:r>
      <w:r>
        <w:rPr>
          <w:rFonts w:ascii="Times New Roman" w:hAnsi="Times New Roman" w:cs="Times New Roman"/>
          <w:sz w:val="24"/>
          <w:szCs w:val="24"/>
          <w:vertAlign w:val="superscript"/>
        </w:rPr>
        <w:t>2</w:t>
      </w:r>
      <w:r>
        <w:rPr>
          <w:rFonts w:ascii="Times New Roman" w:hAnsi="Times New Roman" w:cs="Times New Roman"/>
          <w:sz w:val="24"/>
          <w:szCs w:val="24"/>
        </w:rPr>
        <w:t xml:space="preserve"> k.p.c. i art. 13 § 1 </w:t>
      </w:r>
      <w:proofErr w:type="spellStart"/>
      <w:r>
        <w:rPr>
          <w:rFonts w:ascii="Times New Roman" w:hAnsi="Times New Roman" w:cs="Times New Roman"/>
          <w:sz w:val="24"/>
          <w:szCs w:val="24"/>
        </w:rPr>
        <w:t>zd</w:t>
      </w:r>
      <w:proofErr w:type="spellEnd"/>
      <w:r>
        <w:rPr>
          <w:rFonts w:ascii="Times New Roman" w:hAnsi="Times New Roman" w:cs="Times New Roman"/>
          <w:sz w:val="24"/>
          <w:szCs w:val="24"/>
        </w:rPr>
        <w:t xml:space="preserve">. 2 k.p.c. </w:t>
      </w:r>
      <w:r>
        <w:rPr>
          <w:rFonts w:ascii="Times New Roman" w:hAnsi="Times New Roman" w:cs="Times New Roman"/>
          <w:sz w:val="23"/>
          <w:szCs w:val="23"/>
        </w:rPr>
        <w:t>Dlatego też wniosek o zwrot opłaty sądowej od pozwu jest bezzasadny.</w:t>
      </w:r>
    </w:p>
    <w:p w14:paraId="286534C7" w14:textId="77777777" w:rsidR="0071594F" w:rsidRDefault="0071594F" w:rsidP="0071594F">
      <w:pPr>
        <w:pStyle w:val="Akapitzlist"/>
        <w:spacing w:after="0" w:line="360" w:lineRule="auto"/>
        <w:ind w:right="141"/>
        <w:jc w:val="both"/>
        <w:rPr>
          <w:rFonts w:ascii="Times New Roman" w:hAnsi="Times New Roman" w:cs="Times New Roman"/>
          <w:sz w:val="24"/>
          <w:szCs w:val="24"/>
        </w:rPr>
      </w:pPr>
    </w:p>
    <w:p w14:paraId="74E258BE" w14:textId="77777777" w:rsidR="00130C72" w:rsidRDefault="00130C72">
      <w:bookmarkStart w:id="0" w:name="_GoBack"/>
      <w:bookmarkEnd w:id="0"/>
    </w:p>
    <w:sectPr w:rsidR="00130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32D8"/>
    <w:multiLevelType w:val="hybridMultilevel"/>
    <w:tmpl w:val="6D92E052"/>
    <w:lvl w:ilvl="0" w:tplc="52ACE8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F0"/>
    <w:rsid w:val="00130C72"/>
    <w:rsid w:val="0071594F"/>
    <w:rsid w:val="00732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2E164-500D-488C-A7D0-3C0A0AFD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1594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1049</Characters>
  <Application>Microsoft Office Word</Application>
  <DocSecurity>0</DocSecurity>
  <Lines>8</Lines>
  <Paragraphs>2</Paragraphs>
  <ScaleCrop>false</ScaleCrop>
  <Company>Sad Rejonowy w Jaroslawiu</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Łucja</dc:creator>
  <cp:keywords/>
  <dc:description/>
  <cp:lastModifiedBy>Bal Łucja</cp:lastModifiedBy>
  <cp:revision>2</cp:revision>
  <dcterms:created xsi:type="dcterms:W3CDTF">2025-04-29T06:10:00Z</dcterms:created>
  <dcterms:modified xsi:type="dcterms:W3CDTF">2025-04-29T06:10:00Z</dcterms:modified>
</cp:coreProperties>
</file>